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65967" w:rsidRDefault="00FD6EEB" w14:paraId="0219768C"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b/>
          <w:bCs/>
          <w:color w:val="auto"/>
          <w:sz w:val="42"/>
          <w:szCs w:val="42"/>
        </w:rPr>
      </w:pPr>
      <w:r>
        <w:rPr>
          <w:rFonts w:ascii="Helvetica" w:hAnsi="Helvetica"/>
          <w:b/>
          <w:bCs/>
          <w:noProof/>
          <w:color w:val="auto"/>
          <w:sz w:val="42"/>
          <w:szCs w:val="42"/>
        </w:rPr>
        <w:drawing>
          <wp:inline distT="0" distB="0" distL="0" distR="0" wp14:anchorId="557FD491" wp14:editId="64058B3B">
            <wp:extent cx="5943600" cy="792480"/>
            <wp:effectExtent l="0" t="0" r="0" b="7620"/>
            <wp:docPr id="1" name="Picture 1" descr="A picture containing umbrell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for10-Masthead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rsidR="00465967" w:rsidRDefault="00465967" w14:paraId="70AD6347"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b/>
          <w:bCs/>
          <w:color w:val="auto"/>
          <w:sz w:val="42"/>
          <w:szCs w:val="42"/>
        </w:rPr>
      </w:pPr>
    </w:p>
    <w:p w:rsidRPr="00932DF7" w:rsidR="002918C2" w:rsidP="435B9173" w:rsidRDefault="004539D6" w14:paraId="4DCF4B2C" w14:textId="66A4F84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center"/>
        <w:rPr>
          <w:rFonts w:ascii="Helvetica" w:hAnsi="Helvetica" w:eastAsia="Helvetica" w:cs="Helvetica"/>
          <w:b w:val="1"/>
          <w:bCs w:val="1"/>
          <w:color w:val="auto"/>
          <w:sz w:val="42"/>
          <w:szCs w:val="42"/>
        </w:rPr>
      </w:pPr>
      <w:bookmarkStart w:name="_GoBack" w:id="0"/>
      <w:proofErr w:type="spellStart"/>
      <w:r w:rsidRPr="435B9173" w:rsidR="435B9173">
        <w:rPr>
          <w:rFonts w:ascii="Helvetica" w:hAnsi="Helvetica"/>
          <w:b w:val="1"/>
          <w:bCs w:val="1"/>
          <w:color w:val="auto"/>
          <w:sz w:val="60"/>
          <w:szCs w:val="60"/>
        </w:rPr>
        <w:t>Firstfruits</w:t>
      </w:r>
      <w:proofErr w:type="spellEnd"/>
      <w:r w:rsidRPr="435B9173" w:rsidR="435B9173">
        <w:rPr>
          <w:rFonts w:ascii="Helvetica" w:hAnsi="Helvetica"/>
          <w:b w:val="1"/>
          <w:bCs w:val="1"/>
          <w:color w:val="auto"/>
          <w:sz w:val="60"/>
          <w:szCs w:val="60"/>
        </w:rPr>
        <w:t xml:space="preserve"> Giving </w:t>
      </w:r>
      <w:r w:rsidRPr="435B9173" w:rsidR="435B9173">
        <w:rPr>
          <w:rFonts w:ascii="Helvetica" w:hAnsi="Helvetica"/>
          <w:b w:val="1"/>
          <w:bCs w:val="1"/>
          <w:color w:val="auto"/>
          <w:sz w:val="60"/>
          <w:szCs w:val="60"/>
        </w:rPr>
        <w:t xml:space="preserve">- </w:t>
      </w:r>
      <w:r w:rsidRPr="435B9173" w:rsidR="435B9173">
        <w:rPr>
          <w:rFonts w:ascii="Helvetica" w:hAnsi="Helvetica"/>
          <w:b w:val="1"/>
          <w:bCs w:val="1"/>
          <w:color w:val="auto"/>
          <w:sz w:val="60"/>
          <w:szCs w:val="60"/>
        </w:rPr>
        <w:t>Midweek E-Devotion</w:t>
      </w:r>
      <w:bookmarkEnd w:id="0"/>
    </w:p>
    <w:p w:rsidRPr="003E0AB2" w:rsidR="002918C2" w:rsidRDefault="002918C2" w14:paraId="4DCF4B2D"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color w:val="FF0000"/>
          <w:sz w:val="28"/>
          <w:szCs w:val="28"/>
        </w:rPr>
      </w:pPr>
    </w:p>
    <w:p w:rsidR="002918C2" w:rsidRDefault="002918C2" w14:paraId="4DCF4B30" w14:textId="77777777">
      <w:pPr>
        <w:pStyle w:val="Heading2"/>
        <w:keepLines/>
        <w:tabs>
          <w:tab w:val="center" w:pos="4819"/>
          <w:tab w:val="right" w:pos="9340"/>
        </w:tabs>
        <w:suppressAutoHyphens/>
        <w:spacing w:before="40"/>
        <w:rPr>
          <w:rFonts w:ascii="Arial" w:hAnsi="Arial" w:eastAsia="Arial" w:cs="Arial"/>
          <w:b w:val="0"/>
          <w:bCs w:val="0"/>
          <w:color w:val="323232"/>
          <w:sz w:val="36"/>
          <w:szCs w:val="36"/>
          <w:u w:color="323232"/>
        </w:rPr>
      </w:pPr>
    </w:p>
    <w:p w:rsidRPr="001E275D" w:rsidR="002918C2" w:rsidRDefault="004539D6" w14:paraId="4DCF4B31" w14:textId="77777777">
      <w:pPr>
        <w:pStyle w:val="Body"/>
        <w:widowControl w:val="0"/>
        <w:jc w:val="both"/>
        <w:rPr>
          <w:rFonts w:ascii="Arial" w:hAnsi="Arial" w:eastAsia="Book Antiqua" w:cs="Arial"/>
          <w:b/>
          <w:bCs/>
          <w:kern w:val="28"/>
          <w:sz w:val="36"/>
          <w:szCs w:val="36"/>
          <w:u w:color="000000"/>
        </w:rPr>
      </w:pPr>
      <w:r w:rsidRPr="001E275D">
        <w:rPr>
          <w:rFonts w:ascii="Arial" w:hAnsi="Arial" w:cs="Arial"/>
          <w:b/>
          <w:bCs/>
          <w:kern w:val="28"/>
          <w:sz w:val="36"/>
          <w:szCs w:val="36"/>
          <w:u w:color="000000"/>
        </w:rPr>
        <w:t>CONSIDER TITHING</w:t>
      </w:r>
    </w:p>
    <w:p w:rsidR="002918C2" w:rsidRDefault="002918C2" w14:paraId="4DCF4B32" w14:textId="77777777">
      <w:pPr>
        <w:pStyle w:val="Body"/>
        <w:widowControl w:val="0"/>
        <w:jc w:val="both"/>
        <w:rPr>
          <w:rFonts w:ascii="Book Antiqua" w:hAnsi="Book Antiqua" w:eastAsia="Book Antiqua" w:cs="Book Antiqua"/>
          <w:kern w:val="28"/>
          <w:sz w:val="20"/>
          <w:szCs w:val="20"/>
          <w:u w:color="000000"/>
        </w:rPr>
      </w:pPr>
    </w:p>
    <w:p w:rsidRPr="001E275D" w:rsidR="002918C2" w:rsidRDefault="004539D6" w14:paraId="4DCF4B33" w14:textId="77777777">
      <w:pPr>
        <w:pStyle w:val="Body"/>
        <w:widowControl w:val="0"/>
        <w:jc w:val="both"/>
        <w:rPr>
          <w:rFonts w:ascii="Arial" w:hAnsi="Arial" w:eastAsia="Book Antiqua" w:cs="Arial"/>
          <w:kern w:val="28"/>
          <w:sz w:val="24"/>
          <w:szCs w:val="24"/>
          <w:u w:color="000000"/>
        </w:rPr>
      </w:pPr>
      <w:r w:rsidRPr="001E275D">
        <w:rPr>
          <w:rFonts w:ascii="Arial" w:hAnsi="Arial" w:eastAsia="Book Antiqua" w:cs="Arial"/>
          <w:noProof/>
          <w:kern w:val="28"/>
          <w:sz w:val="24"/>
          <w:szCs w:val="24"/>
          <w:u w:color="000000"/>
        </w:rPr>
        <w:drawing>
          <wp:anchor distT="152400" distB="152400" distL="152400" distR="152400" simplePos="0" relativeHeight="251659264" behindDoc="0" locked="0" layoutInCell="1" allowOverlap="1" wp14:anchorId="4DCF4B3A" wp14:editId="4DCF4B3B">
            <wp:simplePos x="0" y="0"/>
            <wp:positionH relativeFrom="margin">
              <wp:posOffset>3904215</wp:posOffset>
            </wp:positionH>
            <wp:positionV relativeFrom="line">
              <wp:posOffset>0</wp:posOffset>
            </wp:positionV>
            <wp:extent cx="1852089" cy="1961378"/>
            <wp:effectExtent l="0" t="0" r="0" b="0"/>
            <wp:wrapThrough wrapText="bothSides" distL="152400" distR="152400">
              <wp:wrapPolygon edited="1">
                <wp:start x="0" y="0"/>
                <wp:lineTo x="0" y="21600"/>
                <wp:lineTo x="21602" y="21600"/>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ithing,jpg.jpg"/>
                    <pic:cNvPicPr>
                      <a:picLocks noChangeAspect="1"/>
                    </pic:cNvPicPr>
                  </pic:nvPicPr>
                  <pic:blipFill>
                    <a:blip r:embed="rId10">
                      <a:extLst/>
                    </a:blip>
                    <a:srcRect/>
                    <a:stretch>
                      <a:fillRect/>
                    </a:stretch>
                  </pic:blipFill>
                  <pic:spPr>
                    <a:xfrm>
                      <a:off x="0" y="0"/>
                      <a:ext cx="1852089" cy="1961378"/>
                    </a:xfrm>
                    <a:prstGeom prst="rect">
                      <a:avLst/>
                    </a:prstGeom>
                    <a:ln w="12700" cap="flat">
                      <a:noFill/>
                      <a:miter lim="400000"/>
                    </a:ln>
                    <a:effectLst/>
                  </pic:spPr>
                </pic:pic>
              </a:graphicData>
            </a:graphic>
          </wp:anchor>
        </w:drawing>
      </w:r>
      <w:r w:rsidRPr="001E275D">
        <w:rPr>
          <w:rFonts w:ascii="Arial" w:hAnsi="Arial" w:cs="Arial"/>
          <w:kern w:val="28"/>
          <w:sz w:val="24"/>
          <w:szCs w:val="24"/>
          <w:u w:color="000000"/>
        </w:rPr>
        <w:t xml:space="preserve">When we give, we are responding to God’s grace. Tithing serves as a guide to our giving. Without the tithe, we would lack guidance as to what would be an appropriate response to God’s goodness. Through faith, many brothers and sisters at </w:t>
      </w:r>
      <w:r w:rsidRPr="001E275D" w:rsidR="00E42A00">
        <w:rPr>
          <w:rFonts w:ascii="Arial" w:hAnsi="Arial" w:cs="Arial"/>
          <w:color w:val="FF0000"/>
          <w:kern w:val="28"/>
          <w:sz w:val="24"/>
          <w:szCs w:val="24"/>
          <w:u w:color="000000"/>
        </w:rPr>
        <w:t>[church name]</w:t>
      </w:r>
      <w:r w:rsidRPr="001E275D">
        <w:rPr>
          <w:rFonts w:ascii="Arial" w:hAnsi="Arial" w:cs="Arial"/>
          <w:kern w:val="28"/>
          <w:sz w:val="24"/>
          <w:szCs w:val="24"/>
          <w:u w:color="000000"/>
        </w:rPr>
        <w:t xml:space="preserve"> give well beyond the tithe.</w:t>
      </w:r>
    </w:p>
    <w:p w:rsidRPr="001E275D" w:rsidR="002918C2" w:rsidRDefault="004539D6" w14:paraId="4DCF4B34" w14:textId="77777777">
      <w:pPr>
        <w:pStyle w:val="Body"/>
        <w:widowControl w:val="0"/>
        <w:jc w:val="both"/>
        <w:rPr>
          <w:rFonts w:ascii="Arial" w:hAnsi="Arial" w:eastAsia="Book Antiqua" w:cs="Arial"/>
          <w:kern w:val="28"/>
          <w:sz w:val="24"/>
          <w:szCs w:val="24"/>
          <w:u w:color="000000"/>
        </w:rPr>
      </w:pPr>
      <w:r w:rsidRPr="001E275D">
        <w:rPr>
          <w:rFonts w:ascii="Arial" w:hAnsi="Arial" w:eastAsia="Book Antiqua" w:cs="Arial"/>
          <w:kern w:val="28"/>
          <w:sz w:val="24"/>
          <w:szCs w:val="24"/>
          <w:u w:color="000000"/>
        </w:rPr>
        <w:tab/>
      </w:r>
    </w:p>
    <w:p w:rsidRPr="001E275D" w:rsidR="002918C2" w:rsidRDefault="004539D6" w14:paraId="4DCF4B35" w14:textId="77777777">
      <w:pPr>
        <w:pStyle w:val="Body"/>
        <w:widowControl w:val="0"/>
        <w:jc w:val="both"/>
        <w:rPr>
          <w:rFonts w:ascii="Arial" w:hAnsi="Arial" w:eastAsia="Book Antiqua" w:cs="Arial"/>
          <w:kern w:val="28"/>
          <w:sz w:val="24"/>
          <w:szCs w:val="24"/>
          <w:u w:color="000000"/>
        </w:rPr>
      </w:pPr>
      <w:r w:rsidRPr="001E275D">
        <w:rPr>
          <w:rFonts w:ascii="Arial" w:hAnsi="Arial" w:cs="Arial"/>
          <w:kern w:val="28"/>
          <w:sz w:val="24"/>
          <w:szCs w:val="24"/>
          <w:u w:color="000000"/>
        </w:rPr>
        <w:t>In the book</w:t>
      </w:r>
      <w:r w:rsidRPr="001E275D">
        <w:rPr>
          <w:rFonts w:ascii="Arial" w:hAnsi="Arial" w:cs="Arial"/>
          <w:i/>
          <w:iCs/>
          <w:kern w:val="28"/>
          <w:sz w:val="24"/>
          <w:szCs w:val="24"/>
          <w:u w:color="000000"/>
        </w:rPr>
        <w:t xml:space="preserve"> Holy Smoke! What ever Happened to Tithing?</w:t>
      </w:r>
      <w:r w:rsidRPr="001E275D">
        <w:rPr>
          <w:rFonts w:ascii="Arial" w:hAnsi="Arial" w:cs="Arial"/>
          <w:kern w:val="28"/>
          <w:sz w:val="24"/>
          <w:szCs w:val="24"/>
          <w:u w:color="000000"/>
        </w:rPr>
        <w:t xml:space="preserve"> J. Cliff Christopher and Herb Mather wrote, “The tithe is a benchmark along a journey rather than a mark of having arrived at the destination. When we travel on highways today, we need roads, signposts, and other benchmarks such as motels, restaurants, and gas stations. These are institutions. Their purpose is to serve the public on its journey. Likewise, benchmarks such as tithing serve the person on the spiritual journey.”</w:t>
      </w:r>
    </w:p>
    <w:p w:rsidRPr="001E275D" w:rsidR="002918C2" w:rsidRDefault="004539D6" w14:paraId="4DCF4B36" w14:textId="77777777">
      <w:pPr>
        <w:pStyle w:val="Body"/>
        <w:jc w:val="both"/>
        <w:rPr>
          <w:rFonts w:ascii="Arial" w:hAnsi="Arial" w:eastAsia="Book Antiqua" w:cs="Arial"/>
          <w:kern w:val="28"/>
          <w:sz w:val="24"/>
          <w:szCs w:val="24"/>
          <w:u w:color="000000"/>
        </w:rPr>
      </w:pPr>
      <w:r w:rsidRPr="001E275D">
        <w:rPr>
          <w:rFonts w:ascii="Arial" w:hAnsi="Arial" w:eastAsia="Book Antiqua" w:cs="Arial"/>
          <w:kern w:val="28"/>
          <w:sz w:val="24"/>
          <w:szCs w:val="24"/>
          <w:u w:color="000000"/>
        </w:rPr>
        <w:tab/>
      </w:r>
    </w:p>
    <w:p w:rsidRPr="001E275D" w:rsidR="002918C2" w:rsidRDefault="004539D6" w14:paraId="4DCF4B37" w14:textId="77777777">
      <w:pPr>
        <w:pStyle w:val="Body"/>
        <w:jc w:val="both"/>
        <w:rPr>
          <w:rFonts w:ascii="Arial" w:hAnsi="Arial" w:eastAsia="Book Antiqua" w:cs="Arial"/>
          <w:kern w:val="28"/>
          <w:sz w:val="24"/>
          <w:szCs w:val="24"/>
          <w:u w:color="000000"/>
        </w:rPr>
      </w:pPr>
      <w:r w:rsidRPr="001E275D">
        <w:rPr>
          <w:rFonts w:ascii="Arial" w:hAnsi="Arial" w:cs="Arial"/>
          <w:kern w:val="28"/>
          <w:sz w:val="24"/>
          <w:szCs w:val="24"/>
          <w:u w:color="000000"/>
        </w:rPr>
        <w:t xml:space="preserve">Tithing is no longer a requirement, but it can still serve as a proper benchmark for our faithful response to God for </w:t>
      </w:r>
      <w:r w:rsidRPr="001E275D" w:rsidR="00D007D2">
        <w:rPr>
          <w:rFonts w:ascii="Arial" w:hAnsi="Arial" w:cs="Arial"/>
          <w:kern w:val="28"/>
          <w:sz w:val="24"/>
          <w:szCs w:val="24"/>
          <w:u w:color="000000"/>
        </w:rPr>
        <w:t>w</w:t>
      </w:r>
      <w:r w:rsidRPr="001E275D">
        <w:rPr>
          <w:rFonts w:ascii="Arial" w:hAnsi="Arial" w:cs="Arial"/>
          <w:kern w:val="28"/>
          <w:sz w:val="24"/>
          <w:szCs w:val="24"/>
          <w:u w:color="000000"/>
        </w:rPr>
        <w:t xml:space="preserve">ho </w:t>
      </w:r>
      <w:r w:rsidRPr="001E275D" w:rsidR="00D007D2">
        <w:rPr>
          <w:rFonts w:ascii="Arial" w:hAnsi="Arial" w:cs="Arial"/>
          <w:kern w:val="28"/>
          <w:sz w:val="24"/>
          <w:szCs w:val="24"/>
          <w:u w:color="000000"/>
        </w:rPr>
        <w:t>h</w:t>
      </w:r>
      <w:r w:rsidRPr="001E275D">
        <w:rPr>
          <w:rFonts w:ascii="Arial" w:hAnsi="Arial" w:cs="Arial"/>
          <w:kern w:val="28"/>
          <w:sz w:val="24"/>
          <w:szCs w:val="24"/>
          <w:u w:color="000000"/>
        </w:rPr>
        <w:t xml:space="preserve">e is and what </w:t>
      </w:r>
      <w:r w:rsidRPr="001E275D" w:rsidR="00D007D2">
        <w:rPr>
          <w:rFonts w:ascii="Arial" w:hAnsi="Arial" w:cs="Arial"/>
          <w:kern w:val="28"/>
          <w:sz w:val="24"/>
          <w:szCs w:val="24"/>
          <w:u w:color="000000"/>
        </w:rPr>
        <w:t>h</w:t>
      </w:r>
      <w:r w:rsidRPr="001E275D">
        <w:rPr>
          <w:rFonts w:ascii="Arial" w:hAnsi="Arial" w:cs="Arial"/>
          <w:kern w:val="28"/>
          <w:sz w:val="24"/>
          <w:szCs w:val="24"/>
          <w:u w:color="000000"/>
        </w:rPr>
        <w:t xml:space="preserve">e has done for us. The big issue for us today? </w:t>
      </w:r>
      <w:r w:rsidRPr="001E275D">
        <w:rPr>
          <w:rFonts w:ascii="Arial" w:hAnsi="Arial" w:cs="Arial"/>
          <w:i/>
          <w:iCs/>
          <w:kern w:val="28"/>
          <w:sz w:val="24"/>
          <w:szCs w:val="24"/>
          <w:u w:color="000000"/>
        </w:rPr>
        <w:t xml:space="preserve">God doesn’t FORCE us to give. Instead, through Christ, he gives us the gift of being able to give. </w:t>
      </w:r>
      <w:r w:rsidRPr="001E275D">
        <w:rPr>
          <w:rFonts w:ascii="Arial" w:hAnsi="Arial" w:cs="Arial"/>
          <w:kern w:val="28"/>
          <w:sz w:val="24"/>
          <w:szCs w:val="24"/>
          <w:u w:color="000000"/>
        </w:rPr>
        <w:t>May God help us to see this key difference!</w:t>
      </w:r>
    </w:p>
    <w:p w:rsidRPr="001E275D" w:rsidR="002918C2" w:rsidRDefault="002918C2" w14:paraId="4DCF4B38" w14:textId="77777777">
      <w:pPr>
        <w:pStyle w:val="Body"/>
        <w:jc w:val="both"/>
        <w:rPr>
          <w:rFonts w:ascii="Arial" w:hAnsi="Arial" w:eastAsia="Book Antiqua" w:cs="Arial"/>
          <w:kern w:val="28"/>
          <w:sz w:val="24"/>
          <w:szCs w:val="24"/>
          <w:u w:color="000000"/>
        </w:rPr>
      </w:pPr>
    </w:p>
    <w:p w:rsidR="002918C2" w:rsidRDefault="004539D6" w14:paraId="4DCF4B39" w14:textId="77777777">
      <w:pPr>
        <w:pStyle w:val="Body"/>
        <w:widowControl w:val="0"/>
        <w:jc w:val="both"/>
        <w:rPr>
          <w:rFonts w:hint="eastAsia"/>
        </w:rPr>
      </w:pPr>
      <w:r w:rsidRPr="001E275D">
        <w:rPr>
          <w:rFonts w:ascii="Arial" w:hAnsi="Arial" w:cs="Arial"/>
          <w:kern w:val="28"/>
          <w:sz w:val="24"/>
          <w:szCs w:val="24"/>
          <w:u w:color="000000"/>
        </w:rPr>
        <w:t xml:space="preserve">Jesus said, </w:t>
      </w:r>
      <w:r w:rsidRPr="001E275D">
        <w:rPr>
          <w:rFonts w:ascii="Arial" w:hAnsi="Arial" w:cs="Arial"/>
          <w:i/>
          <w:iCs/>
          <w:kern w:val="28"/>
          <w:sz w:val="24"/>
          <w:szCs w:val="24"/>
          <w:u w:color="000000"/>
        </w:rPr>
        <w:t>“Do not think that I have come to abolish the Law or the Prophets; I have not come to abolish them but to fulfill them”</w:t>
      </w:r>
      <w:r w:rsidRPr="001E275D">
        <w:rPr>
          <w:rFonts w:ascii="Arial" w:hAnsi="Arial" w:cs="Arial"/>
          <w:kern w:val="28"/>
          <w:sz w:val="24"/>
          <w:szCs w:val="24"/>
          <w:u w:color="000000"/>
        </w:rPr>
        <w:t xml:space="preserve"> (Matthew 5:17). Because Jesus kept the law of tithing perfectly for us, we are no longer living under a command to tithe. However, living in the grace and forgiveness of Christ, we are asked to give freely (Matthew 10:8) and generously (1 Corinthians 16:2). The tithe can now serve as a </w:t>
      </w:r>
      <w:r w:rsidRPr="001E275D">
        <w:rPr>
          <w:rFonts w:ascii="Arial" w:hAnsi="Arial" w:cs="Arial"/>
          <w:i/>
          <w:iCs/>
          <w:kern w:val="28"/>
          <w:sz w:val="24"/>
          <w:szCs w:val="24"/>
          <w:u w:color="000000"/>
        </w:rPr>
        <w:t xml:space="preserve">joyful benchmark </w:t>
      </w:r>
      <w:r w:rsidRPr="001E275D">
        <w:rPr>
          <w:rFonts w:ascii="Arial" w:hAnsi="Arial" w:cs="Arial"/>
          <w:kern w:val="28"/>
          <w:sz w:val="24"/>
          <w:szCs w:val="24"/>
          <w:u w:color="000000"/>
        </w:rPr>
        <w:t xml:space="preserve">instead of a </w:t>
      </w:r>
      <w:r w:rsidRPr="001E275D">
        <w:rPr>
          <w:rFonts w:ascii="Arial" w:hAnsi="Arial" w:cs="Arial"/>
          <w:i/>
          <w:iCs/>
          <w:kern w:val="28"/>
          <w:sz w:val="24"/>
          <w:szCs w:val="24"/>
          <w:u w:color="000000"/>
        </w:rPr>
        <w:t>burdensome command.</w:t>
      </w:r>
    </w:p>
    <w:sectPr w:rsidR="002918C2">
      <w:headerReference w:type="default" r:id="rId11"/>
      <w:footerReference w:type="default" r:id="rId12"/>
      <w:pgSz w:w="12240" w:h="15840" w:orient="portrait"/>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E0C" w:rsidRDefault="009A5E0C" w14:paraId="4DCF4B3E" w14:textId="77777777">
      <w:r>
        <w:separator/>
      </w:r>
    </w:p>
  </w:endnote>
  <w:endnote w:type="continuationSeparator" w:id="0">
    <w:p w:rsidR="009A5E0C" w:rsidRDefault="009A5E0C" w14:paraId="4DCF4B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8C2" w:rsidRDefault="002918C2" w14:paraId="4DCF4B4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E0C" w:rsidRDefault="009A5E0C" w14:paraId="4DCF4B3C" w14:textId="77777777">
      <w:r>
        <w:separator/>
      </w:r>
    </w:p>
  </w:footnote>
  <w:footnote w:type="continuationSeparator" w:id="0">
    <w:p w:rsidR="009A5E0C" w:rsidRDefault="009A5E0C" w14:paraId="4DCF4B3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8C2" w:rsidRDefault="002918C2" w14:paraId="4DCF4B40"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C2"/>
    <w:rsid w:val="001E275D"/>
    <w:rsid w:val="002918C2"/>
    <w:rsid w:val="003E0AB2"/>
    <w:rsid w:val="004539D6"/>
    <w:rsid w:val="00465967"/>
    <w:rsid w:val="004C044A"/>
    <w:rsid w:val="00702740"/>
    <w:rsid w:val="00831756"/>
    <w:rsid w:val="008410A4"/>
    <w:rsid w:val="00932DF7"/>
    <w:rsid w:val="009A5E0C"/>
    <w:rsid w:val="00D007D2"/>
    <w:rsid w:val="00E42A00"/>
    <w:rsid w:val="00E96E55"/>
    <w:rsid w:val="00F52DF4"/>
    <w:rsid w:val="00FD6EEB"/>
    <w:rsid w:val="435B9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4B2C"/>
  <w15:docId w15:val="{88EFD0C8-066F-4C3A-BCDC-482E28BB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Default" w:customStyle="1">
    <w:name w:val="Default"/>
    <w:rPr>
      <w:rFonts w:ascii="Helvetica Neue" w:hAnsi="Helvetica Neue" w:cs="Arial Unicode MS"/>
      <w:color w:val="000000"/>
      <w:sz w:val="22"/>
      <w:szCs w:val="22"/>
    </w:rPr>
  </w:style>
  <w:style w:type="paragraph" w:styleId="Body" w:customStyle="1">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26D0D-A38E-4289-8CA3-E1A5388817CA}">
  <ds:schemaRefs>
    <ds:schemaRef ds:uri="http://schemas.microsoft.com/office/infopath/2007/PartnerControls"/>
    <ds:schemaRef ds:uri="http://purl.org/dc/elements/1.1/"/>
    <ds:schemaRef ds:uri="http://schemas.microsoft.com/office/2006/metadata/properties"/>
    <ds:schemaRef ds:uri="ff7230a3-081f-4362-8681-48ef7ef73b2a"/>
    <ds:schemaRef ds:uri="http://schemas.microsoft.com/office/2006/documentManagement/types"/>
    <ds:schemaRef ds:uri="http://purl.org/dc/terms/"/>
    <ds:schemaRef ds:uri="http://schemas.openxmlformats.org/package/2006/metadata/core-properties"/>
    <ds:schemaRef ds:uri="http://purl.org/dc/dcmitype/"/>
    <ds:schemaRef ds:uri="651b9240-0ba4-4f74-b1bb-bfa6ffb64563"/>
    <ds:schemaRef ds:uri="http://www.w3.org/XML/1998/namespace"/>
  </ds:schemaRefs>
</ds:datastoreItem>
</file>

<file path=customXml/itemProps2.xml><?xml version="1.0" encoding="utf-8"?>
<ds:datastoreItem xmlns:ds="http://schemas.openxmlformats.org/officeDocument/2006/customXml" ds:itemID="{53205B61-E8EE-4C99-BBF3-550EA8029FA2}">
  <ds:schemaRefs>
    <ds:schemaRef ds:uri="http://schemas.microsoft.com/sharepoint/v3/contenttype/forms"/>
  </ds:schemaRefs>
</ds:datastoreItem>
</file>

<file path=customXml/itemProps3.xml><?xml version="1.0" encoding="utf-8"?>
<ds:datastoreItem xmlns:ds="http://schemas.openxmlformats.org/officeDocument/2006/customXml" ds:itemID="{ECEAA751-224E-46EB-96C1-52FDCC916F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Laura Schulz</dc:creator>
  <lastModifiedBy>Laura Schulz</lastModifiedBy>
  <revision>11</revision>
  <dcterms:created xsi:type="dcterms:W3CDTF">2019-04-18T19:49:00.0000000Z</dcterms:created>
  <dcterms:modified xsi:type="dcterms:W3CDTF">2019-05-23T16:26:23.0148345Z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